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9D1795">
      <w:pPr>
        <w:pStyle w:val="7"/>
        <w:jc w:val="center"/>
        <w:rPr>
          <w:rFonts w:ascii="Times New Roman" w:hAnsi="Times New Roman" w:cs="Times New Roman"/>
          <w:b/>
          <w:i/>
          <w:color w:val="0070C0"/>
          <w:sz w:val="72"/>
          <w:szCs w:val="72"/>
        </w:rPr>
      </w:pPr>
      <w:r>
        <w:rPr>
          <w:rFonts w:ascii="Times New Roman" w:hAnsi="Times New Roman" w:cs="Times New Roman"/>
          <w:b/>
          <w:i/>
          <w:color w:val="0070C0"/>
          <w:sz w:val="72"/>
          <w:szCs w:val="72"/>
        </w:rPr>
        <w:t>S  I  C  I  L  I  J  A</w:t>
      </w:r>
    </w:p>
    <w:p w14:paraId="2FADCFDB">
      <w:pPr>
        <w:pStyle w:val="7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</w:rPr>
        <w:t>CATANIA – ETNA - SIRACUSA - AGRIGENTO – MONREALE – PALERMO</w:t>
      </w:r>
    </w:p>
    <w:p w14:paraId="0C6F971E">
      <w:pPr>
        <w:pStyle w:val="7"/>
        <w:jc w:val="right"/>
        <w:rPr>
          <w:rFonts w:hint="default" w:ascii="Times New Roman" w:hAnsi="Times New Roman" w:cs="Times New Roman"/>
          <w:b/>
          <w:color w:val="FF0000"/>
          <w:sz w:val="18"/>
          <w:szCs w:val="18"/>
          <w:lang w:val="hr-HR"/>
        </w:rPr>
      </w:pPr>
      <w:r>
        <w:rPr>
          <w:rFonts w:ascii="Times New Roman" w:hAnsi="Times New Roman" w:cs="Times New Roman"/>
          <w:b/>
          <w:color w:val="FF0000"/>
          <w:sz w:val="18"/>
          <w:szCs w:val="18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-78740</wp:posOffset>
            </wp:positionH>
            <wp:positionV relativeFrom="paragraph">
              <wp:posOffset>40005</wp:posOffset>
            </wp:positionV>
            <wp:extent cx="1491615" cy="1080770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1615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0</w:t>
      </w:r>
      <w:r>
        <w:rPr>
          <w:rFonts w:hint="default" w:ascii="Times New Roman" w:hAnsi="Times New Roman" w:cs="Times New Roman"/>
          <w:b/>
          <w:color w:val="FF0000"/>
          <w:sz w:val="18"/>
          <w:szCs w:val="18"/>
          <w:lang w:val="hr-HR"/>
        </w:rPr>
        <w:t>64</w:t>
      </w:r>
      <w:r>
        <w:rPr>
          <w:rFonts w:ascii="Times New Roman" w:hAnsi="Times New Roman" w:cs="Times New Roman"/>
          <w:b/>
          <w:color w:val="FF0000"/>
          <w:sz w:val="18"/>
          <w:szCs w:val="18"/>
        </w:rPr>
        <w:t>-202</w:t>
      </w:r>
      <w:r>
        <w:rPr>
          <w:rFonts w:hint="default" w:ascii="Times New Roman" w:hAnsi="Times New Roman" w:cs="Times New Roman"/>
          <w:b/>
          <w:color w:val="FF0000"/>
          <w:sz w:val="18"/>
          <w:szCs w:val="18"/>
          <w:lang w:val="hr-HR"/>
        </w:rPr>
        <w:t>5</w:t>
      </w:r>
    </w:p>
    <w:tbl>
      <w:tblPr>
        <w:tblStyle w:val="6"/>
        <w:tblW w:w="11199" w:type="dxa"/>
        <w:tblInd w:w="-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8"/>
        <w:gridCol w:w="1388"/>
        <w:gridCol w:w="1025"/>
        <w:gridCol w:w="7728"/>
      </w:tblGrid>
      <w:tr w14:paraId="58F713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46" w:type="dxa"/>
        </w:trPr>
        <w:tc>
          <w:tcPr>
            <w:tcW w:w="1025" w:type="dxa"/>
          </w:tcPr>
          <w:p w14:paraId="4E0C0361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26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09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14:paraId="4F0CF56E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petak</w:t>
            </w:r>
          </w:p>
        </w:tc>
        <w:tc>
          <w:tcPr>
            <w:tcW w:w="7728" w:type="dxa"/>
          </w:tcPr>
          <w:p w14:paraId="6CED1A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Polazak autobusa u 5,00 sati iz Sukoišanske ulice u Splitu. Vožnja do Dubrovnika. Po dolasku u trajektnu luku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check in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i ukrcaj na brod. Isplovljavljanje broda za Bari je u 11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: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00 sati s dolaskom u Bari oko 1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9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: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0. 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ožnja autobusom do hotela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 xml:space="preserve"> u gradu Policoro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 Večera. Noćenje.</w:t>
            </w:r>
          </w:p>
          <w:p w14:paraId="00C3CD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14:paraId="7B0877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46" w:type="dxa"/>
        </w:trPr>
        <w:tc>
          <w:tcPr>
            <w:tcW w:w="1025" w:type="dxa"/>
          </w:tcPr>
          <w:p w14:paraId="378C157B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27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09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14:paraId="130C6F74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-1602105</wp:posOffset>
                  </wp:positionH>
                  <wp:positionV relativeFrom="paragraph">
                    <wp:posOffset>478155</wp:posOffset>
                  </wp:positionV>
                  <wp:extent cx="1491615" cy="109728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1698" cy="1097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subota</w:t>
            </w:r>
          </w:p>
        </w:tc>
        <w:tc>
          <w:tcPr>
            <w:tcW w:w="7728" w:type="dxa"/>
          </w:tcPr>
          <w:p w14:paraId="16B143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Vožnja prema Siciliji.  Dolazak u luku u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Villa San Giovanni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i ukrcaj na trajekt. Polusatna plovidba do Sicilije. Iskrcaj u luci Messina i nastavak vožnje do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Taormine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najpoznatijeg  turističkog  odmarališta na Siciliji još od doba rimskog carstva. Gradić smješten u podnožju vulkana Etne  prepoznatljiv je po živopisnim gradskim ulicama, prekrasnim rascvjetalim vrtovima i ostacima rimsko-grčkog amfiteatra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Teatro Greco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koji se danas koristi kao pozornica za predstave na otvorenom. Šetnja gradskim uličicama te slobodno vrijeme za osobne programe. Polazak za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Cataniu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 Smještaj u hotel. Večera. Noćenje.</w:t>
            </w:r>
          </w:p>
          <w:p w14:paraId="7B8DA6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14:paraId="3133C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wBefore w:w="2446" w:type="dxa"/>
          <w:trHeight w:val="3056" w:hRule="atLeast"/>
        </w:trPr>
        <w:tc>
          <w:tcPr>
            <w:tcW w:w="1025" w:type="dxa"/>
          </w:tcPr>
          <w:p w14:paraId="30FED6BD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28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09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14:paraId="0A2A5741">
            <w:pPr>
              <w:spacing w:after="0" w:line="240" w:lineRule="auto"/>
              <w:ind w:left="-108" w:right="-181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  <w:lang w:val="en-U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-1609725</wp:posOffset>
                  </wp:positionH>
                  <wp:positionV relativeFrom="paragraph">
                    <wp:posOffset>670560</wp:posOffset>
                  </wp:positionV>
                  <wp:extent cx="1502410" cy="1080135"/>
                  <wp:effectExtent l="19050" t="0" r="243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3230" cy="1080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nedjelja</w:t>
            </w:r>
          </w:p>
        </w:tc>
        <w:tc>
          <w:tcPr>
            <w:tcW w:w="7728" w:type="dxa"/>
          </w:tcPr>
          <w:p w14:paraId="587136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Doručak.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 xml:space="preserve">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Ukoliko vremenske prilike dozvole fakultativno odlazak autobusom do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Etne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najvišeg aktivnog vulkana u Europi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 xml:space="preserve"> -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33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57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m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..n.m. Nakon razgleda Etne v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ožnja autobusom do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rodnog mjesta matematičara i fizičara Arhimeda, te gr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da koji čuva umjetničko blago Velike Grčke. Ovaj grad je za vrijeme antike bio jedan od najznačajnijih grčkih gradova. Po dolasku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 xml:space="preserve"> o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dlazak u razgled arheološkog parka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 xml:space="preserve">Neapolis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sa veličanstvenim grčkim kazalištem, kamenolomom, rajskim parkom i amfiteatrom u pratnji lokalnog vodiča. Nastavak razgleda centra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Siracuse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: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Normanska katedrala, dvorac, gotičke palače, Piazza del Duomo, Arhimedov trg, Forum, Panteon, Apolonov hram, Dionizijevo uho, grčki hram, kazalište, rimski amfiteatar iz 2.st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.. Slobodno vrijeme za osobne programe.  Povratak u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Cataniu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i odlazak u šetnju gradskim središtem drugog po veličini grada na Siciliji. Tijekom povijesti grad je pretrpio razorne potrese i erupcije vulkana Etne, no zahvaljujući obnovi danas je Catania grad sa raskošnim palačama i trgovima: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glavni trg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sa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katedralom, Palača pravde, rimski amfiteatar, Slonova fontana – simbol grada, luka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... Slobodno vrijeme za šetnju i kupovinu po jednoj od najpoznatijih trgovačkih ulica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Via Etnea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. Povratak u hotel. Večera. Noćenje.</w:t>
            </w:r>
            <w:bookmarkStart w:id="0" w:name="_GoBack"/>
            <w:bookmarkEnd w:id="0"/>
          </w:p>
          <w:p w14:paraId="2D001714">
            <w:pPr>
              <w:pStyle w:val="7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14:paraId="3FB1B0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77572EC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29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09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14:paraId="72D742C0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ponedjeljak</w:t>
            </w:r>
          </w:p>
        </w:tc>
        <w:tc>
          <w:tcPr>
            <w:tcW w:w="10141" w:type="dxa"/>
            <w:gridSpan w:val="3"/>
          </w:tcPr>
          <w:p w14:paraId="0D6DD03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Polazak autobusom prema središnjoj Siciliji do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Piazze Armerine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.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Razgled rimske vile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Villa Romana del Casale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sa lokalnim vodičem, koja je upisana na UNESCO-v popis svjetske baštine. Polazak prema </w:t>
            </w:r>
            <w:r>
              <w:rPr>
                <w:rFonts w:ascii="Times New Roman" w:hAnsi="Times New Roman" w:cs="Times New Roman"/>
                <w:b/>
                <w:sz w:val="19"/>
                <w:szCs w:val="19"/>
              </w:rPr>
              <w:t>Agrigentu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najznačajnijem antičkom lokalitetu na Siciliji. Po dolasku razgled „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Doline hramova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“ sa lokalnim vodičem - lokaliteta s najbolje očuvanim antičkim hramovima na svijetu koji se nalaze pod UNESCO-ovom zaštitiom: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Jupiterov, Herkulov, Junonin i Konkordijin hram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. Smještaj u hotel. 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Dio poslijepodneva slobodan.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Večera. Noćenje.</w:t>
            </w:r>
          </w:p>
          <w:p w14:paraId="4330D26C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14:paraId="78139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46497C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30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09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</w:t>
            </w:r>
          </w:p>
          <w:p w14:paraId="7D9A222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utorak</w:t>
            </w:r>
          </w:p>
        </w:tc>
        <w:tc>
          <w:tcPr>
            <w:tcW w:w="10141" w:type="dxa"/>
            <w:gridSpan w:val="3"/>
          </w:tcPr>
          <w:p w14:paraId="7E50B5B9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Vožnja autobusom do gradića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Monreale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koji se smjestio na padinama brda iznad plodne doline sa nasadima naranči, maslina i badema, poznate kao „Zlatna školjka“. U pratnji lokalnog vodiča razgled najljepše sicilijanske katedrale građene u 12.st.. Nastavak vožnje do obližnjeg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Palerma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, najvećeg grada na Siciliji kojeg su kroz stoljeća gradili Feničani, Rimljani, Saraceni, Bizantinci, Vikinzi, Španjolci i Francuzi. Šetnja starom gradskom jezgrom koja se nalazi na UNESCO-vom popisu mjesta svjetske baštine. U pratnji lokalnog vodiča razgled -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 xml:space="preserve">Cappella Palatina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i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Chiesa della Martorana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, te nastavak pješačkog obilaska grada: </w:t>
            </w:r>
            <w:r>
              <w:rPr>
                <w:rFonts w:ascii="Times New Roman" w:hAnsi="Times New Roman" w:cs="Times New Roman"/>
                <w:i/>
                <w:sz w:val="19"/>
                <w:szCs w:val="19"/>
              </w:rPr>
              <w:t>dvorac Zisa, Admiralski most, crkva San Giovanni degli Eremiti, crkva sv. Katalda, gradski trgovi sa sa fontanama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... Smještaj u hotel. Večera. Noćenje.</w:t>
            </w:r>
          </w:p>
          <w:p w14:paraId="4FE2A106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14:paraId="0B78F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058" w:type="dxa"/>
          </w:tcPr>
          <w:p w14:paraId="64D2617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01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14:paraId="00C4EBA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srijeda</w:t>
            </w:r>
          </w:p>
        </w:tc>
        <w:tc>
          <w:tcPr>
            <w:tcW w:w="10141" w:type="dxa"/>
            <w:gridSpan w:val="3"/>
          </w:tcPr>
          <w:p w14:paraId="7C856FC3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Doručak. Odjava iz hotela. Polazak prema malom ribarskom mjestu </w:t>
            </w:r>
            <w:r>
              <w:rPr>
                <w:rFonts w:ascii="Times New Roman" w:hAnsi="Times New Roman" w:cs="Times New Roman"/>
                <w:b/>
                <w:i/>
                <w:sz w:val="19"/>
                <w:szCs w:val="19"/>
              </w:rPr>
              <w:t>Cefalu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, kojeg još nazivaju i biserom Tirenskog mora. Kraći odmor. Polazak za Messinu. Ukrcaj na trajekt i plovidba do luke Villa San Giovanni. Iskrcaj s broda i nastavak vožnje autobusom do okolice Barija.Smještaj u hotel. Večera. Noćenje.</w:t>
            </w:r>
          </w:p>
          <w:p w14:paraId="07D42F55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14:paraId="14D40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0FED95B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hint="default" w:ascii="Times New Roman" w:hAnsi="Times New Roman" w:cs="Times New Roman"/>
                <w:b/>
                <w:color w:val="FF0000"/>
                <w:sz w:val="19"/>
                <w:szCs w:val="19"/>
                <w:lang w:val="hr-HR"/>
              </w:rPr>
              <w:t>02</w:t>
            </w: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.10.</w:t>
            </w:r>
          </w:p>
          <w:p w14:paraId="3BAD017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  <w:t>četvrtak</w:t>
            </w:r>
          </w:p>
        </w:tc>
        <w:tc>
          <w:tcPr>
            <w:tcW w:w="10141" w:type="dxa"/>
            <w:gridSpan w:val="3"/>
          </w:tcPr>
          <w:p w14:paraId="4386BE3F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Doručak. Odjava iz hotela. Vožnja autobusom do Barija. Ukrcaj na trajekt s polaskom u 1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1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:00 sati za Dubrovnik. Uplovljavanje u luku u Dubrovnik je oko </w:t>
            </w:r>
            <w:r>
              <w:rPr>
                <w:rFonts w:hint="default" w:ascii="Times New Roman" w:hAnsi="Times New Roman" w:cs="Times New Roman"/>
                <w:sz w:val="19"/>
                <w:szCs w:val="19"/>
                <w:lang w:val="hr-HR"/>
              </w:rPr>
              <w:t>19:30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sati.  Polazak za Split  s dolaskom u kasnijim večernjim satima.</w:t>
            </w:r>
          </w:p>
          <w:p w14:paraId="40EC45B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14:paraId="72E5B4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8" w:type="dxa"/>
          </w:tcPr>
          <w:p w14:paraId="6EBA7BC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b/>
                <w:color w:val="FF0000"/>
                <w:sz w:val="19"/>
                <w:szCs w:val="19"/>
              </w:rPr>
            </w:pPr>
          </w:p>
        </w:tc>
        <w:tc>
          <w:tcPr>
            <w:tcW w:w="10141" w:type="dxa"/>
            <w:gridSpan w:val="3"/>
          </w:tcPr>
          <w:p w14:paraId="50194B77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"/>
                <w:szCs w:val="4"/>
              </w:rPr>
            </w:pPr>
          </w:p>
        </w:tc>
      </w:tr>
    </w:tbl>
    <w:p w14:paraId="07B4A17A">
      <w:pPr>
        <w:pStyle w:val="7"/>
        <w:ind w:left="3540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t xml:space="preserve">           </w:t>
      </w:r>
      <w:r>
        <w:rPr>
          <w:rFonts w:ascii="Times New Roman" w:hAnsi="Times New Roman" w:cs="Times New Roman"/>
          <w:b/>
          <w:color w:val="FF0000"/>
        </w:rPr>
        <w:t>CIJENA ARANŽMANA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:</w:t>
      </w:r>
    </w:p>
    <w:p w14:paraId="6985E1F7">
      <w:pPr>
        <w:pStyle w:val="7"/>
        <w:jc w:val="both"/>
        <w:rPr>
          <w:rFonts w:ascii="Times New Roman" w:hAnsi="Times New Roman" w:cs="Times New Roman"/>
          <w:sz w:val="8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</w:p>
    <w:tbl>
      <w:tblPr>
        <w:tblStyle w:val="6"/>
        <w:tblW w:w="0" w:type="auto"/>
        <w:tblInd w:w="49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962"/>
      </w:tblGrid>
      <w:tr w14:paraId="611D2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 w14:paraId="6F60C47F">
            <w:pPr>
              <w:pStyle w:val="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Uplata kod prijave: 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hr-HR"/>
              </w:rPr>
              <w:t>100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,00 €</w:t>
            </w:r>
          </w:p>
        </w:tc>
        <w:tc>
          <w:tcPr>
            <w:tcW w:w="4962" w:type="dxa"/>
          </w:tcPr>
          <w:p w14:paraId="088A4660">
            <w:pPr>
              <w:pStyle w:val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         36 – 40 putnika   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hr-HR"/>
              </w:rPr>
              <w:t xml:space="preserve">  990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, 00 €</w:t>
            </w:r>
          </w:p>
        </w:tc>
      </w:tr>
      <w:tr w14:paraId="2401A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 w14:paraId="0E5B9900"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MOGUĆNOST OBROČNE OTPLATE:</w:t>
            </w:r>
          </w:p>
        </w:tc>
        <w:tc>
          <w:tcPr>
            <w:tcW w:w="4962" w:type="dxa"/>
          </w:tcPr>
          <w:p w14:paraId="779F86BB">
            <w:pPr>
              <w:pStyle w:val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         31 – 35 putnika   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hr-HR"/>
              </w:rPr>
              <w:t>1040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>, 00 €</w:t>
            </w:r>
          </w:p>
        </w:tc>
      </w:tr>
      <w:tr w14:paraId="433E9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 w14:paraId="3E97216C">
            <w:pPr>
              <w:pStyle w:val="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nadoplata za 1/1 sobu – 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hr-HR"/>
              </w:rPr>
              <w:t>195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,00 €</w:t>
            </w:r>
          </w:p>
        </w:tc>
        <w:tc>
          <w:tcPr>
            <w:tcW w:w="4962" w:type="dxa"/>
          </w:tcPr>
          <w:p w14:paraId="407DB23B">
            <w:pPr>
              <w:pStyle w:val="7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                    26 – 30 putnika     </w:t>
            </w:r>
            <w:r>
              <w:rPr>
                <w:rFonts w:hint="default" w:ascii="Times New Roman" w:hAnsi="Times New Roman" w:cs="Times New Roman"/>
                <w:b/>
                <w:bCs/>
                <w:color w:val="FF0000"/>
                <w:sz w:val="20"/>
                <w:szCs w:val="20"/>
                <w:lang w:val="hr-HR"/>
              </w:rPr>
              <w:t>1090,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00 €</w:t>
            </w:r>
          </w:p>
        </w:tc>
      </w:tr>
      <w:tr w14:paraId="7AAC85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</w:trPr>
        <w:tc>
          <w:tcPr>
            <w:tcW w:w="4819" w:type="dxa"/>
          </w:tcPr>
          <w:p w14:paraId="463EBC89">
            <w:pPr>
              <w:pStyle w:val="7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62" w:type="dxa"/>
          </w:tcPr>
          <w:p w14:paraId="4CDA89FA">
            <w:pPr>
              <w:pStyle w:val="7"/>
              <w:jc w:val="both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14:paraId="67777B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</w:trPr>
        <w:tc>
          <w:tcPr>
            <w:tcW w:w="4819" w:type="dxa"/>
          </w:tcPr>
          <w:p w14:paraId="7034DD64">
            <w:pPr>
              <w:pStyle w:val="7"/>
              <w:jc w:val="center"/>
              <w:rPr>
                <w:rFonts w:ascii="Times New Roman" w:hAnsi="Times New Roman" w:cs="Times New Roman"/>
                <w:i/>
                <w:sz w:val="6"/>
                <w:szCs w:val="18"/>
              </w:rPr>
            </w:pPr>
          </w:p>
        </w:tc>
        <w:tc>
          <w:tcPr>
            <w:tcW w:w="4962" w:type="dxa"/>
          </w:tcPr>
          <w:p w14:paraId="0A416131">
            <w:pPr>
              <w:pStyle w:val="7"/>
              <w:jc w:val="both"/>
              <w:rPr>
                <w:rFonts w:ascii="Times New Roman" w:hAnsi="Times New Roman" w:cs="Times New Roman"/>
                <w:sz w:val="6"/>
                <w:szCs w:val="16"/>
              </w:rPr>
            </w:pPr>
          </w:p>
        </w:tc>
      </w:tr>
    </w:tbl>
    <w:p w14:paraId="55B10EAD">
      <w:pPr>
        <w:pStyle w:val="7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19"/>
          <w:szCs w:val="19"/>
        </w:rPr>
        <w:t xml:space="preserve">Program uključuje: </w:t>
      </w:r>
      <w:r>
        <w:rPr>
          <w:rFonts w:ascii="Times New Roman" w:hAnsi="Times New Roman" w:cs="Times New Roman"/>
          <w:sz w:val="19"/>
          <w:szCs w:val="19"/>
        </w:rPr>
        <w:t>prijevoz autobusom  turističke klase na navedenim relacijama, vožnju brodom – palubna karta -  na relaciji Dubrovnik – Bari – Dubrovnik, plovidbu trajektom na relaciji V.San Giovanni – Messina – V.San Giovanni, smještaj u hotelima 3*/4* u</w:t>
      </w:r>
      <w:r>
        <w:rPr>
          <w:rFonts w:hint="default" w:ascii="Times New Roman" w:hAnsi="Times New Roman" w:cs="Times New Roman"/>
          <w:sz w:val="19"/>
          <w:szCs w:val="19"/>
          <w:lang w:val="hr-HR"/>
        </w:rPr>
        <w:t xml:space="preserve"> Policoru,</w:t>
      </w:r>
      <w:r>
        <w:rPr>
          <w:rFonts w:ascii="Times New Roman" w:hAnsi="Times New Roman" w:cs="Times New Roman"/>
          <w:sz w:val="19"/>
          <w:szCs w:val="19"/>
        </w:rPr>
        <w:t xml:space="preserve"> Cataniji, Agrigentu, Palermu, Bariju (okolica) na bazi polupansiona sa uključenim city tax, ulaznice i usluge lokalnih vodiča u Siracusi, Piazzi Armerini, Agrigentu Palermu i Monrealeu, troškove autocesta, parkinga i check-pointa, lučke takse i pristojbe, putno zdravstveno osiguranje, osiguranje od posljedica nesretnog slučaja, jamčevinu za turistički paket aranžman, zakonom propisan PDV, voditelja putovanja te organizaciju putovanja.  </w:t>
      </w:r>
    </w:p>
    <w:p w14:paraId="5010129F">
      <w:pPr>
        <w:pStyle w:val="7"/>
        <w:jc w:val="both"/>
        <w:rPr>
          <w:rFonts w:ascii="Times New Roman" w:hAnsi="Times New Roman" w:cs="Times New Roman"/>
          <w:b/>
          <w:sz w:val="4"/>
          <w:szCs w:val="4"/>
        </w:rPr>
      </w:pPr>
    </w:p>
    <w:p w14:paraId="78199B46">
      <w:pPr>
        <w:pStyle w:val="7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19"/>
          <w:szCs w:val="19"/>
        </w:rPr>
        <w:t>Program ne uključuje</w:t>
      </w:r>
      <w:r>
        <w:rPr>
          <w:rFonts w:ascii="Times New Roman" w:hAnsi="Times New Roman" w:cs="Times New Roman"/>
          <w:sz w:val="19"/>
          <w:szCs w:val="19"/>
        </w:rPr>
        <w:t xml:space="preserve">: izlet do vulkana </w:t>
      </w:r>
      <w:r>
        <w:rPr>
          <w:rFonts w:ascii="Times New Roman" w:hAnsi="Times New Roman" w:cs="Times New Roman"/>
          <w:b/>
          <w:i/>
          <w:sz w:val="19"/>
          <w:szCs w:val="19"/>
        </w:rPr>
        <w:t xml:space="preserve">Etne, </w:t>
      </w:r>
      <w:r>
        <w:rPr>
          <w:rFonts w:ascii="Times New Roman" w:hAnsi="Times New Roman" w:cs="Times New Roman"/>
          <w:sz w:val="19"/>
          <w:szCs w:val="19"/>
        </w:rPr>
        <w:t>do 2.</w:t>
      </w:r>
      <w:r>
        <w:rPr>
          <w:rFonts w:hint="default" w:ascii="Times New Roman" w:hAnsi="Times New Roman" w:cs="Times New Roman"/>
          <w:sz w:val="19"/>
          <w:szCs w:val="19"/>
          <w:lang w:val="hr-HR"/>
        </w:rPr>
        <w:t>920</w:t>
      </w:r>
      <w:r>
        <w:rPr>
          <w:rFonts w:ascii="Times New Roman" w:hAnsi="Times New Roman" w:cs="Times New Roman"/>
          <w:sz w:val="19"/>
          <w:szCs w:val="19"/>
        </w:rPr>
        <w:t>.m.n.m.</w:t>
      </w:r>
      <w:r>
        <w:rPr>
          <w:rFonts w:ascii="Times New Roman" w:hAnsi="Times New Roman" w:cs="Times New Roman"/>
          <w:i/>
          <w:sz w:val="19"/>
          <w:szCs w:val="19"/>
        </w:rPr>
        <w:t>,</w:t>
      </w:r>
      <w:r>
        <w:rPr>
          <w:rFonts w:ascii="Times New Roman" w:hAnsi="Times New Roman" w:cs="Times New Roman"/>
          <w:sz w:val="19"/>
          <w:szCs w:val="19"/>
        </w:rPr>
        <w:t xml:space="preserve"> ovisi o vremenskim prilikama. Informativna cijena u trenutku pisanja programa</w:t>
      </w:r>
      <w:r>
        <w:rPr>
          <w:rFonts w:hint="default" w:ascii="Times New Roman" w:hAnsi="Times New Roman" w:cs="Times New Roman"/>
          <w:sz w:val="19"/>
          <w:szCs w:val="19"/>
          <w:lang w:val="hr-HR"/>
        </w:rPr>
        <w:t xml:space="preserve"> </w:t>
      </w:r>
      <w:r>
        <w:rPr>
          <w:rFonts w:ascii="Times New Roman" w:hAnsi="Times New Roman" w:cs="Times New Roman"/>
          <w:sz w:val="19"/>
          <w:szCs w:val="19"/>
        </w:rPr>
        <w:t xml:space="preserve">iznosi </w:t>
      </w:r>
      <w:r>
        <w:rPr>
          <w:rFonts w:hint="default" w:ascii="Times New Roman" w:hAnsi="Times New Roman" w:cs="Times New Roman"/>
          <w:b/>
          <w:bCs/>
          <w:sz w:val="19"/>
          <w:szCs w:val="19"/>
          <w:lang w:val="hr-HR"/>
        </w:rPr>
        <w:t>85</w:t>
      </w:r>
      <w:r>
        <w:rPr>
          <w:rFonts w:ascii="Times New Roman" w:hAnsi="Times New Roman" w:cs="Times New Roman"/>
          <w:b/>
          <w:bCs/>
          <w:sz w:val="19"/>
          <w:szCs w:val="19"/>
        </w:rPr>
        <w:t>,00 €</w:t>
      </w:r>
      <w:r>
        <w:rPr>
          <w:rFonts w:ascii="Times New Roman" w:hAnsi="Times New Roman" w:cs="Times New Roman"/>
          <w:sz w:val="19"/>
          <w:szCs w:val="19"/>
        </w:rPr>
        <w:t xml:space="preserve"> i uključuje povratnu vožnju žičarom</w:t>
      </w:r>
      <w:r>
        <w:rPr>
          <w:rFonts w:hint="default" w:ascii="Times New Roman" w:hAnsi="Times New Roman" w:cs="Times New Roman"/>
          <w:sz w:val="19"/>
          <w:szCs w:val="19"/>
          <w:lang w:val="hr-HR"/>
        </w:rPr>
        <w:t>, vozilom  i pratnju planinskog vodiča</w:t>
      </w:r>
      <w:r>
        <w:rPr>
          <w:rFonts w:ascii="Times New Roman" w:hAnsi="Times New Roman" w:cs="Times New Roman"/>
          <w:sz w:val="19"/>
          <w:szCs w:val="19"/>
        </w:rPr>
        <w:t xml:space="preserve">. Razgled traje oko 2,5 sata. </w:t>
      </w:r>
    </w:p>
    <w:p w14:paraId="2BCADE78">
      <w:pPr>
        <w:pStyle w:val="7"/>
        <w:jc w:val="both"/>
        <w:rPr>
          <w:rFonts w:ascii="Times New Roman" w:hAnsi="Times New Roman" w:cs="Times New Roman"/>
          <w:sz w:val="4"/>
          <w:szCs w:val="4"/>
        </w:rPr>
      </w:pPr>
    </w:p>
    <w:p w14:paraId="2910E78E">
      <w:pPr>
        <w:pStyle w:val="7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b/>
          <w:sz w:val="19"/>
          <w:szCs w:val="19"/>
        </w:rPr>
        <w:t>Preporuka:</w:t>
      </w:r>
      <w:r>
        <w:rPr>
          <w:rFonts w:ascii="Times New Roman" w:hAnsi="Times New Roman" w:cs="Times New Roman"/>
          <w:sz w:val="19"/>
          <w:szCs w:val="19"/>
        </w:rPr>
        <w:t xml:space="preserve"> uplata police rizika od otkaza putovanja: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 </w:t>
      </w:r>
      <w:r>
        <w:rPr>
          <w:rFonts w:hint="default" w:ascii="Times New Roman" w:hAnsi="Times New Roman" w:cs="Times New Roman"/>
          <w:b/>
          <w:bCs/>
          <w:sz w:val="19"/>
          <w:szCs w:val="19"/>
          <w:lang w:val="hr-HR"/>
        </w:rPr>
        <w:t>32</w:t>
      </w:r>
      <w:r>
        <w:rPr>
          <w:rFonts w:ascii="Times New Roman" w:hAnsi="Times New Roman" w:cs="Times New Roman"/>
          <w:b/>
          <w:bCs/>
          <w:sz w:val="19"/>
          <w:szCs w:val="19"/>
        </w:rPr>
        <w:t xml:space="preserve">,00 €  </w:t>
      </w:r>
      <w:r>
        <w:rPr>
          <w:rFonts w:ascii="Times New Roman" w:hAnsi="Times New Roman" w:cs="Times New Roman"/>
          <w:sz w:val="19"/>
          <w:szCs w:val="19"/>
        </w:rPr>
        <w:t>(isključivo prilikom prve uplate)</w:t>
      </w:r>
    </w:p>
    <w:p w14:paraId="5898F976">
      <w:pPr>
        <w:pStyle w:val="7"/>
        <w:jc w:val="both"/>
        <w:rPr>
          <w:rFonts w:ascii="Times New Roman" w:hAnsi="Times New Roman" w:cs="Times New Roman"/>
          <w:sz w:val="19"/>
          <w:szCs w:val="19"/>
        </w:rPr>
      </w:pPr>
    </w:p>
    <w:p w14:paraId="4F40DEFF">
      <w:pPr>
        <w:pStyle w:val="7"/>
        <w:jc w:val="both"/>
        <w:rPr>
          <w:rFonts w:ascii="Times New Roman" w:hAnsi="Times New Roman" w:cs="Times New Roman"/>
          <w:sz w:val="19"/>
          <w:szCs w:val="19"/>
        </w:rPr>
      </w:pPr>
    </w:p>
    <w:p w14:paraId="4EB0887F">
      <w:pPr>
        <w:pStyle w:val="7"/>
        <w:jc w:val="center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color w:val="1F497D" w:themeColor="text2"/>
          <w:sz w:val="18"/>
          <w:szCs w:val="18"/>
        </w:rPr>
        <w:t xml:space="preserve">                                                       ZA OVO PUTOVANJE DOVOLJNA JE OSOBNA ISKAZNICA </w:t>
      </w:r>
      <w:r>
        <w:rPr>
          <w:rFonts w:ascii="Times New Roman" w:hAnsi="Times New Roman" w:cs="Times New Roman"/>
          <w:sz w:val="18"/>
          <w:szCs w:val="18"/>
        </w:rPr>
        <w:t>(preslik osobne iskaznice dostaviti Agenciji)</w:t>
      </w:r>
    </w:p>
    <w:p w14:paraId="3BCC4D15">
      <w:pPr>
        <w:pStyle w:val="7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14:paraId="54DC515C">
      <w:pPr>
        <w:pStyle w:val="7"/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PUTOKAZI SPLIT, Mažuranićevo šetalište 14, tel: 021/455-038, R.V. 9,00 – 13,00 sati</w:t>
      </w:r>
    </w:p>
    <w:p w14:paraId="65D0EF95">
      <w:pPr>
        <w:pStyle w:val="7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mob: 099/26-424-26, www.putokazi-split.com; e-mail: </w:t>
      </w:r>
      <w:r>
        <w:fldChar w:fldCharType="begin"/>
      </w:r>
      <w:r>
        <w:instrText xml:space="preserve"> HYPERLINK "mailto:jelena@putokazi-split.com" </w:instrText>
      </w:r>
      <w:r>
        <w:fldChar w:fldCharType="separate"/>
      </w:r>
      <w:r>
        <w:rPr>
          <w:rStyle w:val="5"/>
          <w:rFonts w:ascii="Times New Roman" w:hAnsi="Times New Roman" w:cs="Times New Roman"/>
          <w:b/>
          <w:sz w:val="20"/>
          <w:szCs w:val="20"/>
        </w:rPr>
        <w:t>jelena@putokazi-split.com</w:t>
      </w:r>
      <w:r>
        <w:rPr>
          <w:rStyle w:val="5"/>
          <w:rFonts w:ascii="Times New Roman" w:hAnsi="Times New Roman" w:cs="Times New Roman"/>
          <w:b/>
          <w:sz w:val="20"/>
          <w:szCs w:val="20"/>
        </w:rPr>
        <w:fldChar w:fldCharType="end"/>
      </w:r>
    </w:p>
    <w:p w14:paraId="0F0A70F4">
      <w:pPr>
        <w:pStyle w:val="7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>
      <w:pgSz w:w="11906" w:h="16838"/>
      <w:pgMar w:top="284" w:right="566" w:bottom="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mbria Math">
    <w:panose1 w:val="02040503050406030204"/>
    <w:charset w:val="EE"/>
    <w:family w:val="auto"/>
    <w:pitch w:val="variable"/>
    <w:sig w:usb0="E00006FF" w:usb1="420024FF" w:usb2="02000000" w:usb3="00000000" w:csb0="2000019F" w:csb1="00000000"/>
  </w:font>
  <w:font w:name="Calibri">
    <w:panose1 w:val="020F0502020204030204"/>
    <w:charset w:val="EE"/>
    <w:family w:val="auto"/>
    <w:pitch w:val="variable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6B26C8"/>
    <w:rsid w:val="000679BD"/>
    <w:rsid w:val="00091E6D"/>
    <w:rsid w:val="000B2FD1"/>
    <w:rsid w:val="000C1551"/>
    <w:rsid w:val="000C4CF7"/>
    <w:rsid w:val="000E14A8"/>
    <w:rsid w:val="001322B0"/>
    <w:rsid w:val="0014018F"/>
    <w:rsid w:val="00165901"/>
    <w:rsid w:val="001C28AB"/>
    <w:rsid w:val="001C4136"/>
    <w:rsid w:val="001E1545"/>
    <w:rsid w:val="001E67F6"/>
    <w:rsid w:val="00202505"/>
    <w:rsid w:val="002226A2"/>
    <w:rsid w:val="00245094"/>
    <w:rsid w:val="00256106"/>
    <w:rsid w:val="0029108E"/>
    <w:rsid w:val="002A41BD"/>
    <w:rsid w:val="002A5A9B"/>
    <w:rsid w:val="002C30BD"/>
    <w:rsid w:val="002D25A7"/>
    <w:rsid w:val="002D7AAB"/>
    <w:rsid w:val="002E5196"/>
    <w:rsid w:val="002F0A6B"/>
    <w:rsid w:val="002F7B53"/>
    <w:rsid w:val="0030122E"/>
    <w:rsid w:val="0030506C"/>
    <w:rsid w:val="00334377"/>
    <w:rsid w:val="00335A64"/>
    <w:rsid w:val="00342227"/>
    <w:rsid w:val="003458A2"/>
    <w:rsid w:val="00347EEC"/>
    <w:rsid w:val="00374E67"/>
    <w:rsid w:val="0038584B"/>
    <w:rsid w:val="003A1C69"/>
    <w:rsid w:val="003B530D"/>
    <w:rsid w:val="003B56FD"/>
    <w:rsid w:val="003F76EE"/>
    <w:rsid w:val="004050E9"/>
    <w:rsid w:val="00437721"/>
    <w:rsid w:val="0045734C"/>
    <w:rsid w:val="0048123F"/>
    <w:rsid w:val="004B50DA"/>
    <w:rsid w:val="004B52F5"/>
    <w:rsid w:val="004F1EEA"/>
    <w:rsid w:val="00515529"/>
    <w:rsid w:val="00547615"/>
    <w:rsid w:val="00592FFC"/>
    <w:rsid w:val="005948F5"/>
    <w:rsid w:val="005A1468"/>
    <w:rsid w:val="005A29B6"/>
    <w:rsid w:val="005B0A20"/>
    <w:rsid w:val="005B316A"/>
    <w:rsid w:val="00601B63"/>
    <w:rsid w:val="00632DAD"/>
    <w:rsid w:val="006362BD"/>
    <w:rsid w:val="00643941"/>
    <w:rsid w:val="00694EAE"/>
    <w:rsid w:val="006A5C11"/>
    <w:rsid w:val="006B26C8"/>
    <w:rsid w:val="006B5BF4"/>
    <w:rsid w:val="006C4489"/>
    <w:rsid w:val="006D5670"/>
    <w:rsid w:val="006D598E"/>
    <w:rsid w:val="006D6190"/>
    <w:rsid w:val="006E1976"/>
    <w:rsid w:val="006E1DE3"/>
    <w:rsid w:val="006F23BD"/>
    <w:rsid w:val="00732E1B"/>
    <w:rsid w:val="00752219"/>
    <w:rsid w:val="0075778E"/>
    <w:rsid w:val="00772308"/>
    <w:rsid w:val="0077525D"/>
    <w:rsid w:val="00790C94"/>
    <w:rsid w:val="007D6192"/>
    <w:rsid w:val="007D7757"/>
    <w:rsid w:val="007E7BAD"/>
    <w:rsid w:val="007F086A"/>
    <w:rsid w:val="00802DEF"/>
    <w:rsid w:val="00803AC7"/>
    <w:rsid w:val="008129A5"/>
    <w:rsid w:val="00853F7B"/>
    <w:rsid w:val="00887B52"/>
    <w:rsid w:val="00887DD4"/>
    <w:rsid w:val="008B2B53"/>
    <w:rsid w:val="008B44CB"/>
    <w:rsid w:val="009051BA"/>
    <w:rsid w:val="00930C10"/>
    <w:rsid w:val="00947A07"/>
    <w:rsid w:val="00950300"/>
    <w:rsid w:val="009577E9"/>
    <w:rsid w:val="00972AAD"/>
    <w:rsid w:val="00975214"/>
    <w:rsid w:val="009959A3"/>
    <w:rsid w:val="009D35B5"/>
    <w:rsid w:val="009F5D46"/>
    <w:rsid w:val="00A1023F"/>
    <w:rsid w:val="00A52DC0"/>
    <w:rsid w:val="00A534E8"/>
    <w:rsid w:val="00A57423"/>
    <w:rsid w:val="00A81AE2"/>
    <w:rsid w:val="00A83250"/>
    <w:rsid w:val="00AA1508"/>
    <w:rsid w:val="00AB57E8"/>
    <w:rsid w:val="00AC1A15"/>
    <w:rsid w:val="00AD6095"/>
    <w:rsid w:val="00AE4617"/>
    <w:rsid w:val="00B2133A"/>
    <w:rsid w:val="00B3105D"/>
    <w:rsid w:val="00B32235"/>
    <w:rsid w:val="00B4438D"/>
    <w:rsid w:val="00B463DE"/>
    <w:rsid w:val="00B51B25"/>
    <w:rsid w:val="00B624C9"/>
    <w:rsid w:val="00B7734D"/>
    <w:rsid w:val="00B824AC"/>
    <w:rsid w:val="00BA45FB"/>
    <w:rsid w:val="00BB1734"/>
    <w:rsid w:val="00BD60A2"/>
    <w:rsid w:val="00BF055A"/>
    <w:rsid w:val="00C049A6"/>
    <w:rsid w:val="00C24AA8"/>
    <w:rsid w:val="00C34C0C"/>
    <w:rsid w:val="00C46920"/>
    <w:rsid w:val="00C66973"/>
    <w:rsid w:val="00C74722"/>
    <w:rsid w:val="00CB4109"/>
    <w:rsid w:val="00CB578B"/>
    <w:rsid w:val="00CE5857"/>
    <w:rsid w:val="00CF0B51"/>
    <w:rsid w:val="00CF2AEF"/>
    <w:rsid w:val="00D217B6"/>
    <w:rsid w:val="00D226BC"/>
    <w:rsid w:val="00D27826"/>
    <w:rsid w:val="00D36B99"/>
    <w:rsid w:val="00D65854"/>
    <w:rsid w:val="00D67112"/>
    <w:rsid w:val="00D72A58"/>
    <w:rsid w:val="00DA6AB7"/>
    <w:rsid w:val="00DA6F83"/>
    <w:rsid w:val="00DC5E74"/>
    <w:rsid w:val="00E27E18"/>
    <w:rsid w:val="00E445A7"/>
    <w:rsid w:val="00E606B5"/>
    <w:rsid w:val="00E71698"/>
    <w:rsid w:val="00E73019"/>
    <w:rsid w:val="00EA2F2A"/>
    <w:rsid w:val="00EB57FD"/>
    <w:rsid w:val="00EC3096"/>
    <w:rsid w:val="00EF3B73"/>
    <w:rsid w:val="00F20293"/>
    <w:rsid w:val="00F205C7"/>
    <w:rsid w:val="00F369AC"/>
    <w:rsid w:val="00F417B9"/>
    <w:rsid w:val="00F47943"/>
    <w:rsid w:val="00F77B3E"/>
    <w:rsid w:val="00F77C42"/>
    <w:rsid w:val="00FA008D"/>
    <w:rsid w:val="00FF4FC5"/>
    <w:rsid w:val="00FF67DE"/>
    <w:rsid w:val="07100225"/>
    <w:rsid w:val="12EE319F"/>
    <w:rsid w:val="194E0CAB"/>
    <w:rsid w:val="19ED4769"/>
    <w:rsid w:val="1C176FCA"/>
    <w:rsid w:val="25C32E03"/>
    <w:rsid w:val="378F2234"/>
    <w:rsid w:val="3E204E91"/>
    <w:rsid w:val="455860A0"/>
    <w:rsid w:val="5DF979BC"/>
    <w:rsid w:val="5F8D54E0"/>
    <w:rsid w:val="61302A02"/>
    <w:rsid w:val="68CF0917"/>
    <w:rsid w:val="7B9D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eastAsia="Times New Roman" w:cs="Times New Roman"/>
      <w:sz w:val="22"/>
      <w:szCs w:val="22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5">
    <w:name w:val="Hyperlink"/>
    <w:basedOn w:val="2"/>
    <w:unhideWhenUsed/>
    <w:uiPriority w:val="99"/>
    <w:rPr>
      <w:color w:val="0000FF" w:themeColor="hyperlink"/>
      <w:u w:val="single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hr-HR" w:eastAsia="en-US" w:bidi="ar-SA"/>
    </w:rPr>
  </w:style>
  <w:style w:type="character" w:customStyle="1" w:styleId="8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5B1CAB-EE65-44C4-826C-8968436287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At Work</Company>
  <Pages>1</Pages>
  <Words>904</Words>
  <Characters>5159</Characters>
  <Lines>42</Lines>
  <Paragraphs>12</Paragraphs>
  <TotalTime>74</TotalTime>
  <ScaleCrop>false</ScaleCrop>
  <LinksUpToDate>false</LinksUpToDate>
  <CharactersWithSpaces>6051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2023-11-28T09:25:00Z</dcterms:created>
  <dc:creator>Ratka</dc:creator>
  <cp:lastModifiedBy>Željko</cp:lastModifiedBy>
  <cp:lastPrinted>2025-02-24T12:00:50Z</cp:lastPrinted>
  <dcterms:modified xsi:type="dcterms:W3CDTF">2025-02-24T12:15:44Z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8EC9EDBACF484841A5031378D006C99E_12</vt:lpwstr>
  </property>
</Properties>
</file>